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Come comunicare la Parola</w:t>
      </w:r>
    </w:p>
    <w:p>
      <w:pPr>
        <w:pStyle w:val="Fonte"/>
      </w:pPr>
      <w:r>
        <w:t xml:space="preserve">Fonte: Gen's 2/2002, p. 43 – https://it.ekklesiaonline.org/gens-2002-2-come-comunicare-la-parola/</w:t>
      </w:r>
    </w:p>
    <w:p>
      <w:r>
        <w:t xml:space="preserve">Klaus Hemmerle</w:t>
      </w:r>
    </w:p>
    <w:p>
      <w:r>
        <w:t xml:space="preserve">La Parola, che in principio era presso Dio ed era Dio, si fece carne e si espresse, e disse ciò che di più profondo e sommo poteva dirci, quando in aramaico balbettò: “Abba!”, “Padre amato!”.</w:t>
      </w:r>
    </w:p>
    <w:p>
      <w:r>
        <w:t xml:space="preserve">In questo “Abba!” c’è ogni cosa. È il grido redentore di tutti i silenzi e di tutte le incapacità di trovare le parole, è la trasfigurazione di ogni perché e di ogni grido di disperazione, è il superamento di ogni mutismo, la riconciliazione di ogni dissidio tra Dio e l’uomo e tra uomo e uomo. In questo “Abba!” del bimbo c’è la venerazione di Dio, c’è la pace per gli uomini. E in questo “Abba!” c’è, nella prossimità degli uomini, senza mediazioni, l’eterno dialogo tra Figlio e Padre nello Spirito, oltre al quale non c’è mistero più profondo, realtà più primigenia, principio più primo.</w:t>
      </w:r>
    </w:p>
    <w:p>
      <w:r>
        <w:t xml:space="preserve">All’amore sta a cuore l’altro</w:t>
      </w:r>
    </w:p>
    <w:p>
      <w:r>
        <w:t xml:space="preserve">Il Concilio Lateranense IV (1215) chiarì che ogni parola umana — inclusi i dogmi e la stessa Sacra Scrittura — dice più come Dio non è, che come Dio è. Quando Dio stesso ci parla in parole umane, necessariamente si abbassa e si sminuisce. Ma come poté Dio, come poté la Parola “rischiare” l'incarnazione e la rivelazione di sé in forma umana e in parole umane? Più delle singole parole, è questo autosminuirsi a dirci chi è Dio. Egli è amore — ed è amore nella misura in cui non resta in sé, ma si dona. All’amore sta a cuore l’altro al punto che non esita a compromettersi, a esporsi a malintesi ed equivoci, ad abbassarsi al disotto del proprio “livello”.</w:t>
      </w:r>
    </w:p>
    <w:p>
      <w:r>
        <w:t xml:space="preserve">Questa è la vera comunicazione</w:t>
      </w:r>
    </w:p>
    <w:p>
      <w:r>
        <w:t xml:space="preserve">Se Dio è amore, allora la sua parola può essere compresa e propagata solo in questo modo. Questa modalità dell’amore è tuttavia traduzione. Ti dico la mia parola nella tua lingua, entro in certo qual modo in te, per formulare, a partire da te e dal tuo orizzonte, la parola che nel mio intimo più riposto intendo dirti. E viceversa, tu oltrepassi le tue capacità di comprensione per entrare nelle mie, per riguadagnare questa parola da me e riportarla nel tuo essere, nella tua vita, nel tuo contesto, tra le tue esperienze.</w:t>
      </w:r>
    </w:p>
    <w:p>
      <w:r>
        <w:t xml:space="preserve">Tra di noi deve accadere ciò che accade tra Dio e noi. Lo stesso amore, in cui Dio si spoglia, si aliena, in cui la sua parola incessantemente più grande e la nostra parola incessantemente più piccola si compenetrano, è anche l’evento linguistico ed esistenziale in cui ci impossessiamo di questa Parola ed entriamo anche noi nella sua dinamica, nel suo mistero, nell’amore.</w:t>
      </w:r>
    </w:p>
    <w:p>
      <w:r>
        <w:t xml:space="preserve">Da: La luce dentro le cose, Città Nuova, Roma 1998, pp. 332-334. Klaus Hemmerle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