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Il vescovo Hemmerle: un dono di Dio</w:t>
      </w:r>
    </w:p>
    <w:p>
      <w:pPr>
        <w:pStyle w:val="Fonte"/>
      </w:pPr>
      <w:r>
        <w:t xml:space="preserve">Fonte: Gen's 1-2/2007, p. 9 – https://it.ekklesiaonline.org/gens-2007-1-2-il-vescovo-hemmerle-un-dono-di-dio/</w:t>
      </w:r>
    </w:p>
    <w:p>
      <w:r>
        <w:t xml:space="preserve">Chiara Lubich</w:t>
      </w:r>
    </w:p>
    <w:p>
      <w:r>
        <w:t xml:space="preserve">È stato detto giustamente che in mons. Hemmerle si potevano cogliere varie qualità, vari carismi — se così si può dire — che ordinariamente vengono distribuiti a più persone: era un ottimo pastore, che ha donato veramente la vita per le proprie pecorelle; era un teologo esperto, luminoso e creativo; perfettamente ortodosso e contemporaneamente in grado di aiutare il Movimento dei focolari a tradurre la sua esperienza carismatica in dottrina, di cogliere ed evidenziare le ‘cose nuove” che portava in sé; era un bambino evangelico, quindi un focolarino, come noi diciamo; era un modello di sacerdote e di vescovo.</w:t>
      </w:r>
    </w:p>
    <w:p>
      <w:r>
        <w:t xml:space="preserve">Se si passano in rassegna i punti della spiritualità dell’unità ci si accorge che mons. Hemmerle li ha vissuti tutti e chiunque vuole approfondirli basta guardi a lui.</w:t>
      </w:r>
    </w:p>
    <w:p>
      <w:r>
        <w:t xml:space="preserve">Dio era tutto per lui e il fare la sua volontà l'impegno costante della sua vita.</w:t>
      </w:r>
    </w:p>
    <w:p>
      <w:r>
        <w:t xml:space="preserve">Era la Parola vissuta, cosicché qualcuno che lo ha conosciuto da vicino afferma di poterlo definire così: «un innamorato della Parola di Dio».</w:t>
      </w:r>
    </w:p>
    <w:p>
      <w:r>
        <w:t xml:space="preserve">Chiunque lo ha avvicinato ha conosciuto il suo amore personale.</w:t>
      </w:r>
    </w:p>
    <w:p>
      <w:r>
        <w:t xml:space="preserve">L’amore reciproco poi lo istillava in tutti, anche fra i «vescovi amici» del Movimento dei focolari, di cui si occupava.</w:t>
      </w:r>
    </w:p>
    <w:p>
      <w:r>
        <w:t xml:space="preserve">Gesù abbandonato non lo perdeva mai di vista e Maria era la sua dolce Madre.</w:t>
      </w:r>
    </w:p>
    <w:p>
      <w:r>
        <w:t xml:space="preserve">Fu definito un sacerdote «secondo il cuore di Dio» e per questo servì la Chiesa veramente, lasciando vivere in lui lo Spirito Santo.</w:t>
      </w:r>
    </w:p>
    <w:p>
      <w:r>
        <w:t xml:space="preserve">L’unità era tutta la sua vita, secondo la Parola che lo guidava: «lo sono nel Padre e voi in me e io in voi».</w:t>
      </w:r>
    </w:p>
    <w:p>
      <w:r>
        <w:t xml:space="preserve">E in tal modo si è così arricchito interiormente, che non è difficile vedere in lui una persona che ha vissuto in maniera esemplare la nostra spiritualità.</w:t>
      </w:r>
    </w:p>
    <w:p>
      <w:r>
        <w:t xml:space="preserve">Perciò, ora che è partito, è rimasto di fronte a ciascuno di noi come un prototipo del nostro Ideale.</w:t>
      </w:r>
    </w:p>
    <w:p>
      <w:r>
        <w:t xml:space="preserve">Conoscendo la sua vita a fondo saremo interiormente illuminati e trascinati a servire meglio il Signore.</w:t>
      </w:r>
    </w:p>
    <w:p>
      <w:r>
        <w:t xml:space="preserve">Chiara Lubich</w:t>
      </w:r>
    </w:p>
    <w:p>
      <w:r>
        <w:t xml:space="preserve">Dalla rivista “Mariapoli” 2/1994, pp. 2ss.</w:t>
      </w:r>
    </w:p>
    <w:sectPr>
      <w:pgSz w:w="11906" w:h="16838"/>
      <w:pgMar w:top="1418" w:right="1418" w:bottom="1418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it-IT"/>
      </w:rPr>
    </w:rPrDefault>
    <w:pPrDefault>
      <w:pPr>
        <w:spacing w:after="16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80"/>
    </w:pPr>
    <w:rPr>
      <w:b/>
      <w:sz w:val="40"/>
    </w:rPr>
  </w:style>
  <w:style w:type="paragraph" w:styleId="Fonte">
    <w:name w:val="Fonte"/>
    <w:basedOn w:val="Normal"/>
    <w:pPr>
      <w:spacing w:after="400"/>
    </w:pPr>
    <w:rPr>
      <w:color w:val="666666"/>
      <w:sz w:val="18"/>
    </w:rPr>
  </w:style>
  <w:style w:type="paragraph" w:styleId="Pagina">
    <w:name w:val="Pagina"/>
    <w:basedOn w:val="Normal"/>
    <w:pPr>
      <w:jc w:val="center"/>
    </w:pPr>
    <w:rPr>
      <w:color w:val="999999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